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627FD" w14:textId="77777777" w:rsidR="00EC1EE8" w:rsidRDefault="00072D22"/>
    <w:tbl>
      <w:tblPr>
        <w:tblW w:w="5000" w:type="pct"/>
        <w:tblCellSpacing w:w="0" w:type="dxa"/>
        <w:tblCellMar>
          <w:left w:w="0" w:type="dxa"/>
          <w:right w:w="0" w:type="dxa"/>
        </w:tblCellMar>
        <w:tblLook w:val="04A0" w:firstRow="1" w:lastRow="0" w:firstColumn="1" w:lastColumn="0" w:noHBand="0" w:noVBand="1"/>
      </w:tblPr>
      <w:tblGrid>
        <w:gridCol w:w="10800"/>
      </w:tblGrid>
      <w:tr w:rsidR="009B11F7" w:rsidRPr="009B11F7" w14:paraId="5D5D931C" w14:textId="77777777" w:rsidTr="009B11F7">
        <w:trPr>
          <w:tblCellSpacing w:w="0" w:type="dxa"/>
        </w:trPr>
        <w:tc>
          <w:tcPr>
            <w:tcW w:w="0" w:type="auto"/>
            <w:vAlign w:val="center"/>
            <w:hideMark/>
          </w:tcPr>
          <w:p w14:paraId="1AA8EB74" w14:textId="77777777" w:rsidR="009B11F7" w:rsidRPr="009B11F7" w:rsidRDefault="009B11F7" w:rsidP="009B11F7">
            <w:pPr>
              <w:spacing w:after="0" w:line="240" w:lineRule="auto"/>
              <w:rPr>
                <w:rFonts w:ascii="Arial" w:eastAsia="Times New Roman" w:hAnsi="Arial" w:cs="Arial"/>
                <w:color w:val="000000"/>
                <w:sz w:val="20"/>
                <w:szCs w:val="20"/>
              </w:rPr>
            </w:pPr>
            <w:r w:rsidRPr="009B11F7">
              <w:rPr>
                <w:rFonts w:ascii="Arial" w:eastAsia="Times New Roman" w:hAnsi="Arial" w:cs="Arial"/>
                <w:b/>
                <w:bCs/>
                <w:color w:val="000000"/>
                <w:sz w:val="27"/>
                <w:szCs w:val="27"/>
              </w:rPr>
              <w:t>Applicants sought for Groundwater Plan Advisory Committee</w:t>
            </w:r>
            <w:r w:rsidRPr="009B11F7">
              <w:rPr>
                <w:rFonts w:ascii="Arial" w:eastAsia="Times New Roman" w:hAnsi="Arial" w:cs="Arial"/>
                <w:color w:val="000000"/>
                <w:sz w:val="20"/>
                <w:szCs w:val="20"/>
              </w:rPr>
              <w:br/>
              <w:t>1 message</w:t>
            </w:r>
          </w:p>
        </w:tc>
      </w:tr>
    </w:tbl>
    <w:p w14:paraId="69E18E6F" w14:textId="77777777" w:rsidR="009B11F7" w:rsidRPr="009B11F7" w:rsidRDefault="00072D22" w:rsidP="009B11F7">
      <w:pPr>
        <w:spacing w:after="0" w:line="240" w:lineRule="auto"/>
        <w:rPr>
          <w:rFonts w:ascii="Times New Roman" w:eastAsia="Times New Roman" w:hAnsi="Times New Roman" w:cs="Times New Roman"/>
          <w:sz w:val="24"/>
          <w:szCs w:val="24"/>
        </w:rPr>
      </w:pPr>
      <w:r w:rsidRPr="00072D22">
        <w:rPr>
          <w:rFonts w:ascii="Times New Roman" w:eastAsia="Times New Roman" w:hAnsi="Times New Roman" w:cs="Times New Roman"/>
          <w:noProof/>
          <w:sz w:val="24"/>
          <w:szCs w:val="24"/>
        </w:rPr>
        <w:pict w14:anchorId="2B07F6D0">
          <v:rect id="_x0000_i1025" alt="" style="width:468pt;height:.05pt;mso-width-percent:0;mso-height-percent:0;mso-width-percent:0;mso-height-percent:0"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8033"/>
        <w:gridCol w:w="2767"/>
      </w:tblGrid>
      <w:tr w:rsidR="009B11F7" w:rsidRPr="009B11F7" w14:paraId="30027CDF" w14:textId="77777777" w:rsidTr="009B11F7">
        <w:trPr>
          <w:tblCellSpacing w:w="0" w:type="dxa"/>
        </w:trPr>
        <w:tc>
          <w:tcPr>
            <w:tcW w:w="0" w:type="auto"/>
            <w:vAlign w:val="center"/>
            <w:hideMark/>
          </w:tcPr>
          <w:p w14:paraId="0D221C6F" w14:textId="77777777" w:rsidR="009B11F7" w:rsidRPr="009B11F7" w:rsidRDefault="009B11F7" w:rsidP="009B11F7">
            <w:pPr>
              <w:spacing w:after="0" w:line="240" w:lineRule="auto"/>
              <w:rPr>
                <w:rFonts w:ascii="Arial" w:eastAsia="Times New Roman" w:hAnsi="Arial" w:cs="Arial"/>
                <w:color w:val="000000"/>
                <w:sz w:val="20"/>
                <w:szCs w:val="20"/>
              </w:rPr>
            </w:pPr>
            <w:r w:rsidRPr="009B11F7">
              <w:rPr>
                <w:rFonts w:ascii="Arial" w:eastAsia="Times New Roman" w:hAnsi="Arial" w:cs="Arial"/>
                <w:b/>
                <w:bCs/>
                <w:color w:val="000000"/>
                <w:sz w:val="20"/>
                <w:szCs w:val="20"/>
              </w:rPr>
              <w:t>Napa County Groundwater Sustainability Agency </w:t>
            </w:r>
            <w:r w:rsidRPr="009B11F7">
              <w:rPr>
                <w:rFonts w:ascii="Arial" w:eastAsia="Times New Roman" w:hAnsi="Arial" w:cs="Arial"/>
                <w:color w:val="000000"/>
                <w:sz w:val="20"/>
                <w:szCs w:val="20"/>
              </w:rPr>
              <w:t>&lt;Jeff.Sharp@countyofnapa.org&gt;</w:t>
            </w:r>
          </w:p>
        </w:tc>
        <w:tc>
          <w:tcPr>
            <w:tcW w:w="0" w:type="auto"/>
            <w:vAlign w:val="center"/>
            <w:hideMark/>
          </w:tcPr>
          <w:p w14:paraId="70A97536" w14:textId="77777777" w:rsidR="009B11F7" w:rsidRPr="009B11F7" w:rsidRDefault="009B11F7" w:rsidP="009B11F7">
            <w:pPr>
              <w:spacing w:after="0" w:line="240" w:lineRule="auto"/>
              <w:jc w:val="right"/>
              <w:rPr>
                <w:rFonts w:ascii="Arial" w:eastAsia="Times New Roman" w:hAnsi="Arial" w:cs="Arial"/>
                <w:color w:val="000000"/>
                <w:sz w:val="20"/>
                <w:szCs w:val="20"/>
              </w:rPr>
            </w:pPr>
            <w:r w:rsidRPr="009B11F7">
              <w:rPr>
                <w:rFonts w:ascii="Arial" w:eastAsia="Times New Roman" w:hAnsi="Arial" w:cs="Arial"/>
                <w:color w:val="000000"/>
                <w:sz w:val="20"/>
                <w:szCs w:val="20"/>
              </w:rPr>
              <w:t>Tue, Apr 7, 2020 at 11:09 AM</w:t>
            </w:r>
          </w:p>
        </w:tc>
      </w:tr>
      <w:tr w:rsidR="009B11F7" w:rsidRPr="009B11F7" w14:paraId="29103FDA" w14:textId="77777777" w:rsidTr="009B11F7">
        <w:trPr>
          <w:tblCellSpacing w:w="0" w:type="dxa"/>
        </w:trPr>
        <w:tc>
          <w:tcPr>
            <w:tcW w:w="0" w:type="auto"/>
            <w:gridSpan w:val="2"/>
            <w:tcMar>
              <w:top w:w="0" w:type="dxa"/>
              <w:left w:w="0" w:type="dxa"/>
              <w:bottom w:w="60" w:type="dxa"/>
              <w:right w:w="0" w:type="dxa"/>
            </w:tcMar>
            <w:vAlign w:val="center"/>
            <w:hideMark/>
          </w:tcPr>
          <w:p w14:paraId="6A7D5259" w14:textId="77777777" w:rsidR="009B11F7" w:rsidRPr="009B11F7" w:rsidRDefault="009B11F7" w:rsidP="009B11F7">
            <w:pPr>
              <w:spacing w:after="0" w:line="240" w:lineRule="auto"/>
              <w:rPr>
                <w:rFonts w:ascii="Arial" w:eastAsia="Times New Roman" w:hAnsi="Arial" w:cs="Arial"/>
                <w:color w:val="000000"/>
                <w:sz w:val="20"/>
                <w:szCs w:val="20"/>
              </w:rPr>
            </w:pPr>
            <w:r w:rsidRPr="009B11F7">
              <w:rPr>
                <w:rFonts w:ascii="Arial" w:eastAsia="Times New Roman" w:hAnsi="Arial" w:cs="Arial"/>
                <w:color w:val="000000"/>
                <w:sz w:val="20"/>
                <w:szCs w:val="20"/>
              </w:rPr>
              <w:t>Reply-To: Napa County Groundwater Sustainability Agency &lt;Jeff.Sharp@countyofnapa.org&gt;</w:t>
            </w:r>
          </w:p>
          <w:p w14:paraId="64CD0A47" w14:textId="77777777" w:rsidR="009B11F7" w:rsidRPr="009B11F7" w:rsidRDefault="009B11F7" w:rsidP="009B11F7">
            <w:pPr>
              <w:spacing w:after="0" w:line="240" w:lineRule="auto"/>
              <w:rPr>
                <w:rFonts w:ascii="Arial" w:eastAsia="Times New Roman" w:hAnsi="Arial" w:cs="Arial"/>
                <w:color w:val="000000"/>
                <w:sz w:val="20"/>
                <w:szCs w:val="20"/>
              </w:rPr>
            </w:pPr>
            <w:r w:rsidRPr="009B11F7">
              <w:rPr>
                <w:rFonts w:ascii="Arial" w:eastAsia="Times New Roman" w:hAnsi="Arial" w:cs="Arial"/>
                <w:color w:val="000000"/>
                <w:sz w:val="20"/>
                <w:szCs w:val="20"/>
              </w:rPr>
              <w:t>To: gsmargadant@gmail.com</w:t>
            </w:r>
          </w:p>
        </w:tc>
      </w:tr>
      <w:tr w:rsidR="009B11F7" w:rsidRPr="009B11F7" w14:paraId="7A8C2581" w14:textId="77777777" w:rsidTr="009B11F7">
        <w:tblPrEx>
          <w:tblCellSpacing w:w="0" w:type="nil"/>
          <w:shd w:val="clear" w:color="auto" w:fill="FAFAFA"/>
        </w:tblPrEx>
        <w:tc>
          <w:tcPr>
            <w:tcW w:w="0" w:type="auto"/>
            <w:gridSpan w:val="2"/>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0800"/>
            </w:tblGrid>
            <w:tr w:rsidR="009B11F7" w:rsidRPr="009B11F7" w14:paraId="018DCA1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B11F7" w:rsidRPr="009B11F7" w14:paraId="78FBDA0D" w14:textId="77777777">
                    <w:tc>
                      <w:tcPr>
                        <w:tcW w:w="0" w:type="auto"/>
                        <w:tcMar>
                          <w:top w:w="0" w:type="dxa"/>
                          <w:left w:w="270" w:type="dxa"/>
                          <w:bottom w:w="135" w:type="dxa"/>
                          <w:right w:w="270" w:type="dxa"/>
                        </w:tcMar>
                        <w:hideMark/>
                      </w:tcPr>
                      <w:p w14:paraId="6F6E63E9" w14:textId="77777777" w:rsidR="009B11F7" w:rsidRPr="009B11F7" w:rsidRDefault="009B11F7" w:rsidP="009B11F7">
                        <w:pPr>
                          <w:spacing w:after="0" w:line="270" w:lineRule="atLeast"/>
                          <w:rPr>
                            <w:rFonts w:ascii="Helvetica" w:eastAsia="Times New Roman" w:hAnsi="Helvetica" w:cs="Helvetica"/>
                            <w:color w:val="656565"/>
                            <w:sz w:val="18"/>
                            <w:szCs w:val="18"/>
                          </w:rPr>
                        </w:pPr>
                        <w:r w:rsidRPr="009B11F7">
                          <w:rPr>
                            <w:rFonts w:ascii="Helvetica" w:eastAsia="Times New Roman" w:hAnsi="Helvetica" w:cs="Helvetica"/>
                            <w:b/>
                            <w:bCs/>
                            <w:color w:val="656565"/>
                            <w:sz w:val="18"/>
                          </w:rPr>
                          <w:t>Applicants sought for Groundwater Sustainability Plan Advisory Committee (GSPAC)</w:t>
                        </w:r>
                      </w:p>
                    </w:tc>
                  </w:tr>
                </w:tbl>
                <w:p w14:paraId="70E92107" w14:textId="77777777" w:rsidR="009B11F7" w:rsidRPr="009B11F7" w:rsidRDefault="009B11F7" w:rsidP="009B11F7">
                  <w:pPr>
                    <w:spacing w:after="0" w:line="240" w:lineRule="auto"/>
                    <w:rPr>
                      <w:rFonts w:ascii="Arial" w:eastAsia="Times New Roman" w:hAnsi="Arial" w:cs="Arial"/>
                      <w:vanish/>
                      <w:sz w:val="20"/>
                      <w:szCs w:val="20"/>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9B11F7" w:rsidRPr="009B11F7" w14:paraId="64ADE196" w14:textId="77777777">
                    <w:tc>
                      <w:tcPr>
                        <w:tcW w:w="0" w:type="auto"/>
                        <w:tcMar>
                          <w:top w:w="0" w:type="dxa"/>
                          <w:left w:w="270" w:type="dxa"/>
                          <w:bottom w:w="135" w:type="dxa"/>
                          <w:right w:w="270" w:type="dxa"/>
                        </w:tcMar>
                        <w:hideMark/>
                      </w:tcPr>
                      <w:p w14:paraId="3AA4F092" w14:textId="77777777" w:rsidR="009B11F7" w:rsidRPr="009B11F7" w:rsidRDefault="00072D22" w:rsidP="009B11F7">
                        <w:pPr>
                          <w:spacing w:after="0" w:line="270" w:lineRule="atLeast"/>
                          <w:rPr>
                            <w:rFonts w:ascii="Helvetica" w:eastAsia="Times New Roman" w:hAnsi="Helvetica" w:cs="Helvetica"/>
                            <w:color w:val="656565"/>
                            <w:sz w:val="18"/>
                            <w:szCs w:val="18"/>
                          </w:rPr>
                        </w:pPr>
                        <w:hyperlink r:id="rId5" w:tgtFrame="_blank" w:history="1">
                          <w:r w:rsidR="009B11F7" w:rsidRPr="009B11F7">
                            <w:rPr>
                              <w:rFonts w:ascii="Arial" w:eastAsia="Times New Roman" w:hAnsi="Arial" w:cs="Arial"/>
                              <w:color w:val="656565"/>
                              <w:sz w:val="18"/>
                              <w:u w:val="single"/>
                            </w:rPr>
                            <w:t>View this email in your browser</w:t>
                          </w:r>
                        </w:hyperlink>
                      </w:p>
                    </w:tc>
                  </w:tr>
                </w:tbl>
                <w:p w14:paraId="7DB41B71" w14:textId="77777777" w:rsidR="009B11F7" w:rsidRPr="009B11F7" w:rsidRDefault="009B11F7" w:rsidP="009B11F7">
                  <w:pPr>
                    <w:spacing w:after="0" w:line="240" w:lineRule="auto"/>
                    <w:rPr>
                      <w:rFonts w:ascii="Arial" w:eastAsia="Times New Roman" w:hAnsi="Arial" w:cs="Arial"/>
                      <w:sz w:val="20"/>
                      <w:szCs w:val="20"/>
                    </w:rPr>
                  </w:pPr>
                </w:p>
              </w:tc>
            </w:tr>
          </w:tbl>
          <w:p w14:paraId="378EC0ED" w14:textId="77777777" w:rsidR="009B11F7" w:rsidRPr="009B11F7" w:rsidRDefault="009B11F7" w:rsidP="009B11F7">
            <w:pPr>
              <w:spacing w:after="0" w:line="240" w:lineRule="auto"/>
              <w:rPr>
                <w:rFonts w:ascii="Arial" w:eastAsia="Times New Roman" w:hAnsi="Arial" w:cs="Arial"/>
                <w:color w:val="000000"/>
                <w:sz w:val="20"/>
                <w:szCs w:val="20"/>
              </w:rPr>
            </w:pPr>
          </w:p>
        </w:tc>
      </w:tr>
      <w:tr w:rsidR="009B11F7" w:rsidRPr="009B11F7" w14:paraId="211F112C" w14:textId="77777777" w:rsidTr="009B11F7">
        <w:tblPrEx>
          <w:tblCellSpacing w:w="0" w:type="nil"/>
          <w:shd w:val="clear" w:color="auto" w:fill="FAFAFA"/>
        </w:tblPrEx>
        <w:tc>
          <w:tcPr>
            <w:tcW w:w="0" w:type="auto"/>
            <w:gridSpan w:val="2"/>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10800"/>
            </w:tblGrid>
            <w:tr w:rsidR="009B11F7" w:rsidRPr="009B11F7" w14:paraId="58D816C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530"/>
                  </w:tblGrid>
                  <w:tr w:rsidR="009B11F7" w:rsidRPr="009B11F7" w14:paraId="0981D17C" w14:textId="77777777">
                    <w:tc>
                      <w:tcPr>
                        <w:tcW w:w="0" w:type="auto"/>
                        <w:tcMar>
                          <w:top w:w="0" w:type="dxa"/>
                          <w:left w:w="135" w:type="dxa"/>
                          <w:bottom w:w="0" w:type="dxa"/>
                          <w:right w:w="135" w:type="dxa"/>
                        </w:tcMar>
                        <w:hideMark/>
                      </w:tcPr>
                      <w:p w14:paraId="6D87B042" w14:textId="77777777" w:rsidR="009B11F7" w:rsidRPr="009B11F7" w:rsidRDefault="009B11F7" w:rsidP="009B11F7">
                        <w:pPr>
                          <w:spacing w:after="0" w:line="240" w:lineRule="auto"/>
                          <w:jc w:val="center"/>
                          <w:rPr>
                            <w:rFonts w:ascii="Arial" w:eastAsia="Times New Roman" w:hAnsi="Arial" w:cs="Arial"/>
                            <w:sz w:val="20"/>
                            <w:szCs w:val="20"/>
                          </w:rPr>
                        </w:pPr>
                      </w:p>
                    </w:tc>
                  </w:tr>
                </w:tbl>
                <w:p w14:paraId="544E3F1D" w14:textId="77777777" w:rsidR="009B11F7" w:rsidRPr="009B11F7" w:rsidRDefault="009B11F7" w:rsidP="009B11F7">
                  <w:pPr>
                    <w:spacing w:after="0" w:line="240" w:lineRule="auto"/>
                    <w:rPr>
                      <w:rFonts w:ascii="Arial" w:eastAsia="Times New Roman" w:hAnsi="Arial" w:cs="Arial"/>
                      <w:sz w:val="20"/>
                      <w:szCs w:val="20"/>
                    </w:rPr>
                  </w:pPr>
                </w:p>
              </w:tc>
            </w:tr>
          </w:tbl>
          <w:p w14:paraId="74EF7316" w14:textId="77777777" w:rsidR="009B11F7" w:rsidRPr="009B11F7" w:rsidRDefault="009B11F7" w:rsidP="009B11F7">
            <w:pPr>
              <w:spacing w:after="0" w:line="240" w:lineRule="auto"/>
              <w:rPr>
                <w:rFonts w:ascii="Arial" w:eastAsia="Times New Roman" w:hAnsi="Arial" w:cs="Arial"/>
                <w:color w:val="000000"/>
                <w:sz w:val="20"/>
                <w:szCs w:val="20"/>
              </w:rPr>
            </w:pPr>
          </w:p>
        </w:tc>
      </w:tr>
      <w:tr w:rsidR="009B11F7" w:rsidRPr="009B11F7" w14:paraId="4C0D1226" w14:textId="77777777" w:rsidTr="009B11F7">
        <w:tblPrEx>
          <w:tblCellSpacing w:w="0" w:type="nil"/>
          <w:shd w:val="clear" w:color="auto" w:fill="FAFAFA"/>
        </w:tblPrEx>
        <w:tc>
          <w:tcPr>
            <w:tcW w:w="0" w:type="auto"/>
            <w:gridSpan w:val="2"/>
            <w:shd w:val="clear" w:color="auto" w:fill="FAFAFA"/>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800"/>
            </w:tblGrid>
            <w:tr w:rsidR="009B11F7" w:rsidRPr="009B11F7" w14:paraId="5C04FFEA" w14:textId="77777777">
              <w:trPr>
                <w:jc w:val="center"/>
              </w:trPr>
              <w:tc>
                <w:tcPr>
                  <w:tcW w:w="0" w:type="auto"/>
                  <w:shd w:val="clear" w:color="auto" w:fill="FFFFFF"/>
                  <w:hideMark/>
                </w:tcPr>
                <w:tbl>
                  <w:tblPr>
                    <w:tblpPr w:leftFromText="45" w:rightFromText="45" w:vertAnchor="text" w:tblpXSpec="right" w:tblpYSpec="center"/>
                    <w:tblW w:w="6000" w:type="dxa"/>
                    <w:shd w:val="clear" w:color="auto" w:fill="FFFFFF"/>
                    <w:tblCellMar>
                      <w:left w:w="0" w:type="dxa"/>
                      <w:right w:w="0" w:type="dxa"/>
                    </w:tblCellMar>
                    <w:tblLook w:val="04A0" w:firstRow="1" w:lastRow="0" w:firstColumn="1" w:lastColumn="0" w:noHBand="0" w:noVBand="1"/>
                  </w:tblPr>
                  <w:tblGrid>
                    <w:gridCol w:w="9526"/>
                  </w:tblGrid>
                  <w:tr w:rsidR="009B11F7" w:rsidRPr="009B11F7" w14:paraId="10DEA890"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526"/>
                        </w:tblGrid>
                        <w:tr w:rsidR="009B11F7" w:rsidRPr="009B11F7" w14:paraId="4A91CC5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526"/>
                              </w:tblGrid>
                              <w:tr w:rsidR="009B11F7" w:rsidRPr="009B11F7" w14:paraId="71E859CB" w14:textId="77777777">
                                <w:tc>
                                  <w:tcPr>
                                    <w:tcW w:w="0" w:type="auto"/>
                                    <w:tcMar>
                                      <w:top w:w="0" w:type="dxa"/>
                                      <w:left w:w="270" w:type="dxa"/>
                                      <w:bottom w:w="135" w:type="dxa"/>
                                      <w:right w:w="270" w:type="dxa"/>
                                    </w:tcMar>
                                    <w:hideMark/>
                                  </w:tcPr>
                                  <w:p w14:paraId="3FE29A54" w14:textId="77777777" w:rsidR="009B11F7" w:rsidRPr="009B11F7" w:rsidRDefault="009B11F7" w:rsidP="009B11F7">
                                    <w:pPr>
                                      <w:spacing w:after="0" w:line="360" w:lineRule="atLeast"/>
                                      <w:rPr>
                                        <w:rFonts w:ascii="Arial" w:eastAsia="Times New Roman" w:hAnsi="Arial" w:cs="Arial"/>
                                        <w:color w:val="202020"/>
                                        <w:sz w:val="24"/>
                                        <w:szCs w:val="24"/>
                                      </w:rPr>
                                    </w:pPr>
                                    <w:r w:rsidRPr="009B11F7">
                                      <w:rPr>
                                        <w:rFonts w:ascii="Arial" w:eastAsia="Times New Roman" w:hAnsi="Arial" w:cs="Arial"/>
                                        <w:b/>
                                        <w:bCs/>
                                        <w:color w:val="202020"/>
                                        <w:sz w:val="24"/>
                                        <w:szCs w:val="24"/>
                                      </w:rPr>
                                      <w:t>Applicants sought for Groundwater Sustainability Plan Advisory Committee (GSPAC)</w:t>
                                    </w:r>
                                  </w:p>
                                  <w:p w14:paraId="73475E15" w14:textId="77777777" w:rsidR="009B11F7" w:rsidRPr="009B11F7" w:rsidRDefault="009B11F7" w:rsidP="009B11F7">
                                    <w:pPr>
                                      <w:spacing w:after="0" w:line="360" w:lineRule="atLeast"/>
                                      <w:rPr>
                                        <w:rFonts w:ascii="Arial" w:eastAsia="Times New Roman" w:hAnsi="Arial" w:cs="Arial"/>
                                        <w:color w:val="202020"/>
                                        <w:sz w:val="24"/>
                                        <w:szCs w:val="24"/>
                                      </w:rPr>
                                    </w:pPr>
                                    <w:r w:rsidRPr="009B11F7">
                                      <w:rPr>
                                        <w:rFonts w:ascii="Arial" w:eastAsia="Times New Roman" w:hAnsi="Arial" w:cs="Arial"/>
                                        <w:color w:val="202020"/>
                                        <w:sz w:val="24"/>
                                        <w:szCs w:val="24"/>
                                      </w:rPr>
                                      <w:t>Application details can be found below and at: </w:t>
                                    </w:r>
                                    <w:hyperlink r:id="rId6" w:tgtFrame="_blank" w:history="1">
                                      <w:r w:rsidRPr="009B11F7">
                                        <w:rPr>
                                          <w:rFonts w:ascii="Arial" w:eastAsia="Times New Roman" w:hAnsi="Arial" w:cs="Arial"/>
                                          <w:color w:val="2BAADF"/>
                                          <w:sz w:val="24"/>
                                          <w:szCs w:val="24"/>
                                          <w:u w:val="single"/>
                                        </w:rPr>
                                        <w:t>https://www.countyofnapa.org/1420/Committees-Commissions</w:t>
                                      </w:r>
                                    </w:hyperlink>
                                    <w:r w:rsidRPr="009B11F7">
                                      <w:rPr>
                                        <w:rFonts w:ascii="Arial" w:eastAsia="Times New Roman" w:hAnsi="Arial" w:cs="Arial"/>
                                        <w:color w:val="202020"/>
                                        <w:sz w:val="24"/>
                                        <w:szCs w:val="24"/>
                                      </w:rPr>
                                      <w:br/>
                                    </w:r>
                                    <w:r w:rsidRPr="009B11F7">
                                      <w:rPr>
                                        <w:rFonts w:ascii="Arial" w:eastAsia="Times New Roman" w:hAnsi="Arial" w:cs="Arial"/>
                                        <w:color w:val="202020"/>
                                        <w:sz w:val="24"/>
                                        <w:szCs w:val="24"/>
                                      </w:rPr>
                                      <w:br/>
                                      <w:t>The Executive Director for the Napa County Groundwater Sustainability Agency (NCGSA) announces twenty-five (25) openings on the newly formed </w:t>
                                    </w:r>
                                    <w:r w:rsidRPr="009B11F7">
                                      <w:rPr>
                                        <w:rFonts w:ascii="Arial" w:eastAsia="Times New Roman" w:hAnsi="Arial" w:cs="Arial"/>
                                        <w:b/>
                                        <w:bCs/>
                                        <w:color w:val="202020"/>
                                        <w:sz w:val="24"/>
                                        <w:szCs w:val="24"/>
                                      </w:rPr>
                                      <w:t>Groundwater Sustainability Plan Advisory Committee</w:t>
                                    </w:r>
                                    <w:r w:rsidRPr="009B11F7">
                                      <w:rPr>
                                        <w:rFonts w:ascii="Arial" w:eastAsia="Times New Roman" w:hAnsi="Arial" w:cs="Arial"/>
                                        <w:color w:val="202020"/>
                                        <w:sz w:val="24"/>
                                        <w:szCs w:val="24"/>
                                      </w:rPr>
                                      <w:t> representing the following categories.  The terms for all appointees shall expire on January 31, 2022.</w:t>
                                    </w:r>
                                  </w:p>
                                  <w:p w14:paraId="13F1361B" w14:textId="77777777" w:rsidR="009B11F7" w:rsidRPr="009B11F7" w:rsidRDefault="009B11F7" w:rsidP="009B11F7">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rPr>
                                      <w:t>Four (4) members shall represent the three cities and town located within the sub-basin (Calistoga, St. Helena, Yountville and Napa);</w:t>
                                    </w:r>
                                  </w:p>
                                  <w:p w14:paraId="27B561A2" w14:textId="77777777" w:rsidR="009B11F7" w:rsidRPr="009B11F7" w:rsidRDefault="009B11F7" w:rsidP="009B11F7">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rPr>
                                      <w:t>One (1) member shall represent the Napa Sanitation District;</w:t>
                                    </w:r>
                                  </w:p>
                                  <w:p w14:paraId="746F43B0" w14:textId="77777777" w:rsidR="009B11F7" w:rsidRPr="009B11F7" w:rsidRDefault="009B11F7" w:rsidP="009B11F7">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rPr>
                                      <w:t>Two (2) members shall represent legal holders of surface water rights along the Napa River within the sub-basin;</w:t>
                                    </w:r>
                                  </w:p>
                                  <w:p w14:paraId="6B84ADD9" w14:textId="77777777" w:rsidR="009B11F7" w:rsidRPr="009B11F7" w:rsidRDefault="009B11F7" w:rsidP="009B11F7">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rPr>
                                      <w:t>Two (2) members shall represent owners or operators of legally entitled groundwater dependent public water systems within the sub-basin;</w:t>
                                    </w:r>
                                  </w:p>
                                  <w:p w14:paraId="5C0E41DC" w14:textId="77777777" w:rsidR="009B11F7" w:rsidRPr="009B11F7" w:rsidRDefault="009B11F7" w:rsidP="009B11F7">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rPr>
                                      <w:t>Two (2) members shall represent holders of overlying groundwater rights within the sub-basin;</w:t>
                                    </w:r>
                                  </w:p>
                                  <w:p w14:paraId="2A0181A5" w14:textId="77777777" w:rsidR="009B11F7" w:rsidRPr="009B11F7" w:rsidRDefault="009B11F7" w:rsidP="009B11F7">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rPr>
                                      <w:t>Five (5) members shall represent agricultural interests within the sub-basin;</w:t>
                                    </w:r>
                                  </w:p>
                                  <w:p w14:paraId="16D75FED" w14:textId="77777777" w:rsidR="009B11F7" w:rsidRPr="009B11F7" w:rsidRDefault="009B11F7" w:rsidP="009B11F7">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rPr>
                                      <w:t>Five (5) members shall represent environmental users of groundwater within the sub-basin;</w:t>
                                    </w:r>
                                  </w:p>
                                  <w:p w14:paraId="5F87B76D" w14:textId="77777777" w:rsidR="009B11F7" w:rsidRPr="009B11F7" w:rsidRDefault="009B11F7" w:rsidP="009B11F7">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rPr>
                                      <w:t>Two (2) members shall represent disadvantaged communities located within the sub-basin; and</w:t>
                                    </w:r>
                                  </w:p>
                                  <w:p w14:paraId="7494B081" w14:textId="77777777" w:rsidR="009B11F7" w:rsidRPr="009B11F7" w:rsidRDefault="009B11F7" w:rsidP="009B11F7">
                                    <w:pPr>
                                      <w:numPr>
                                        <w:ilvl w:val="0"/>
                                        <w:numId w:val="1"/>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rPr>
                                      <w:t>Two (2) members shall represent the public at large.</w:t>
                                    </w:r>
                                  </w:p>
                                  <w:p w14:paraId="074431E3" w14:textId="77777777" w:rsidR="009B11F7" w:rsidRPr="009B11F7" w:rsidRDefault="009B11F7" w:rsidP="009B11F7">
                                    <w:pPr>
                                      <w:spacing w:after="0" w:line="360" w:lineRule="atLeast"/>
                                      <w:rPr>
                                        <w:rFonts w:ascii="Arial" w:eastAsia="Times New Roman" w:hAnsi="Arial" w:cs="Arial"/>
                                        <w:color w:val="202020"/>
                                        <w:sz w:val="24"/>
                                        <w:szCs w:val="24"/>
                                      </w:rPr>
                                    </w:pPr>
                                    <w:r w:rsidRPr="009B11F7">
                                      <w:rPr>
                                        <w:rFonts w:ascii="Arial" w:eastAsia="Times New Roman" w:hAnsi="Arial" w:cs="Arial"/>
                                        <w:b/>
                                        <w:bCs/>
                                        <w:i/>
                                        <w:iCs/>
                                        <w:color w:val="202020"/>
                                        <w:sz w:val="24"/>
                                        <w:szCs w:val="24"/>
                                      </w:rPr>
                                      <w:t>Recruitments will remain opened until the vacancies are filled</w:t>
                                    </w:r>
                                    <w:r w:rsidRPr="009B11F7">
                                      <w:rPr>
                                        <w:rFonts w:ascii="Arial" w:eastAsia="Times New Roman" w:hAnsi="Arial" w:cs="Arial"/>
                                        <w:color w:val="202020"/>
                                        <w:sz w:val="24"/>
                                        <w:szCs w:val="24"/>
                                      </w:rPr>
                                      <w:t>. The first review of applications will be on </w:t>
                                    </w:r>
                                    <w:r w:rsidRPr="009B11F7">
                                      <w:rPr>
                                        <w:rFonts w:ascii="Arial" w:eastAsia="Times New Roman" w:hAnsi="Arial" w:cs="Arial"/>
                                        <w:color w:val="202020"/>
                                        <w:sz w:val="24"/>
                                        <w:szCs w:val="24"/>
                                        <w:u w:val="single"/>
                                      </w:rPr>
                                      <w:t>April 20, 2020</w:t>
                                    </w:r>
                                    <w:r w:rsidRPr="009B11F7">
                                      <w:rPr>
                                        <w:rFonts w:ascii="Arial" w:eastAsia="Times New Roman" w:hAnsi="Arial" w:cs="Arial"/>
                                        <w:color w:val="202020"/>
                                        <w:sz w:val="24"/>
                                        <w:szCs w:val="24"/>
                                      </w:rPr>
                                      <w:t>.</w:t>
                                    </w:r>
                                    <w:r w:rsidRPr="009B11F7">
                                      <w:rPr>
                                        <w:rFonts w:ascii="Arial" w:eastAsia="Times New Roman" w:hAnsi="Arial" w:cs="Arial"/>
                                        <w:color w:val="202020"/>
                                        <w:sz w:val="24"/>
                                        <w:szCs w:val="24"/>
                                      </w:rPr>
                                      <w:br/>
                                    </w:r>
                                    <w:r w:rsidRPr="009B11F7">
                                      <w:rPr>
                                        <w:rFonts w:ascii="Arial" w:eastAsia="Times New Roman" w:hAnsi="Arial" w:cs="Arial"/>
                                        <w:color w:val="202020"/>
                                        <w:sz w:val="24"/>
                                        <w:szCs w:val="24"/>
                                      </w:rPr>
                                      <w:br/>
                                    </w:r>
                                    <w:r w:rsidRPr="009B11F7">
                                      <w:rPr>
                                        <w:rFonts w:ascii="Arial" w:eastAsia="Times New Roman" w:hAnsi="Arial" w:cs="Arial"/>
                                        <w:color w:val="202020"/>
                                        <w:sz w:val="24"/>
                                        <w:szCs w:val="24"/>
                                        <w:u w:val="single"/>
                                      </w:rPr>
                                      <w:lastRenderedPageBreak/>
                                      <w:t>Committee Purpose</w:t>
                                    </w:r>
                                    <w:r w:rsidRPr="009B11F7">
                                      <w:rPr>
                                        <w:rFonts w:ascii="Arial" w:eastAsia="Times New Roman" w:hAnsi="Arial" w:cs="Arial"/>
                                        <w:color w:val="202020"/>
                                        <w:sz w:val="24"/>
                                        <w:szCs w:val="24"/>
                                      </w:rPr>
                                      <w:t>:  To advise the NCGSA Board of Directors on the preparation of a Groundwater Sustainability Plan (GSP), with policies and recommendations to manage the groundwater within the Napa Valley Sub-Basin to ensure its long-term protection and availability.  Working with staff, consultants, and a facilitator in a public forum, the Committee will submit a recommended GSP to the Board of Directors for consideration no later than November 1, 2021.</w:t>
                                    </w:r>
                                    <w:r w:rsidRPr="009B11F7">
                                      <w:rPr>
                                        <w:rFonts w:ascii="Arial" w:eastAsia="Times New Roman" w:hAnsi="Arial" w:cs="Arial"/>
                                        <w:color w:val="202020"/>
                                        <w:sz w:val="24"/>
                                        <w:szCs w:val="24"/>
                                      </w:rPr>
                                      <w:br/>
                                    </w:r>
                                    <w:r w:rsidRPr="009B11F7">
                                      <w:rPr>
                                        <w:rFonts w:ascii="Arial" w:eastAsia="Times New Roman" w:hAnsi="Arial" w:cs="Arial"/>
                                        <w:color w:val="202020"/>
                                        <w:sz w:val="24"/>
                                        <w:szCs w:val="24"/>
                                      </w:rPr>
                                      <w:br/>
                                      <w:t>The Committee shall meet monthly with dates and times to be determined at the first meeting, and may conduct special meetings on an on-call basis as needed, usually at the Board of Supervisors Chambers, 1195 Third Street, Napa, CA.</w:t>
                                    </w:r>
                                    <w:r w:rsidRPr="009B11F7">
                                      <w:rPr>
                                        <w:rFonts w:ascii="Arial" w:eastAsia="Times New Roman" w:hAnsi="Arial" w:cs="Arial"/>
                                        <w:color w:val="202020"/>
                                        <w:sz w:val="24"/>
                                        <w:szCs w:val="24"/>
                                      </w:rPr>
                                      <w:br/>
                                      <w:t> </w:t>
                                    </w:r>
                                    <w:r w:rsidRPr="009B11F7">
                                      <w:rPr>
                                        <w:rFonts w:ascii="Arial" w:eastAsia="Times New Roman" w:hAnsi="Arial" w:cs="Arial"/>
                                        <w:color w:val="202020"/>
                                        <w:sz w:val="24"/>
                                        <w:szCs w:val="24"/>
                                      </w:rPr>
                                      <w:br/>
                                    </w:r>
                                    <w:r w:rsidRPr="009B11F7">
                                      <w:rPr>
                                        <w:rFonts w:ascii="Arial" w:eastAsia="Times New Roman" w:hAnsi="Arial" w:cs="Arial"/>
                                        <w:color w:val="202020"/>
                                        <w:sz w:val="24"/>
                                        <w:szCs w:val="24"/>
                                        <w:u w:val="single"/>
                                      </w:rPr>
                                      <w:t>Qualifications</w:t>
                                    </w:r>
                                    <w:r w:rsidRPr="009B11F7">
                                      <w:rPr>
                                        <w:rFonts w:ascii="Arial" w:eastAsia="Times New Roman" w:hAnsi="Arial" w:cs="Arial"/>
                                        <w:color w:val="202020"/>
                                        <w:sz w:val="24"/>
                                        <w:szCs w:val="24"/>
                                      </w:rPr>
                                      <w:t>:</w:t>
                                    </w:r>
                                  </w:p>
                                  <w:p w14:paraId="5E3A9007" w14:textId="77777777" w:rsidR="009B11F7" w:rsidRPr="009B11F7" w:rsidRDefault="009B11F7" w:rsidP="009B11F7">
                                    <w:pPr>
                                      <w:numPr>
                                        <w:ilvl w:val="0"/>
                                        <w:numId w:val="2"/>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u w:val="single"/>
                                      </w:rPr>
                                      <w:t>Cities and Town Representatives</w:t>
                                    </w:r>
                                    <w:r w:rsidRPr="009B11F7">
                                      <w:rPr>
                                        <w:rFonts w:ascii="Helvetica" w:eastAsia="Times New Roman" w:hAnsi="Helvetica" w:cs="Helvetica"/>
                                        <w:color w:val="202020"/>
                                        <w:sz w:val="24"/>
                                        <w:szCs w:val="24"/>
                                      </w:rPr>
                                      <w:t>: Four (4) members recommended by the individual city or town councils (Calistoga, Napa, St. Helena, and Yountville) located within the sub-basin (no specialized or professional background is required);</w:t>
                                    </w:r>
                                  </w:p>
                                  <w:p w14:paraId="07B45016" w14:textId="77777777" w:rsidR="009B11F7" w:rsidRPr="009B11F7" w:rsidRDefault="009B11F7" w:rsidP="009B11F7">
                                    <w:pPr>
                                      <w:numPr>
                                        <w:ilvl w:val="0"/>
                                        <w:numId w:val="2"/>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u w:val="single"/>
                                      </w:rPr>
                                      <w:t>Napa Sanitation District Representative</w:t>
                                    </w:r>
                                    <w:r w:rsidRPr="009B11F7">
                                      <w:rPr>
                                        <w:rFonts w:ascii="Helvetica" w:eastAsia="Times New Roman" w:hAnsi="Helvetica" w:cs="Helvetica"/>
                                        <w:color w:val="202020"/>
                                        <w:sz w:val="24"/>
                                        <w:szCs w:val="24"/>
                                      </w:rPr>
                                      <w:t>: One (1) member recommended by the Napa Sanitation District (no specialized or professional background is required);</w:t>
                                    </w:r>
                                  </w:p>
                                  <w:p w14:paraId="2B7112EB" w14:textId="77777777" w:rsidR="009B11F7" w:rsidRPr="009B11F7" w:rsidRDefault="009B11F7" w:rsidP="009B11F7">
                                    <w:pPr>
                                      <w:numPr>
                                        <w:ilvl w:val="0"/>
                                        <w:numId w:val="2"/>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u w:val="single"/>
                                      </w:rPr>
                                      <w:t>Surface Water Right Representatives</w:t>
                                    </w:r>
                                    <w:r w:rsidRPr="009B11F7">
                                      <w:rPr>
                                        <w:rFonts w:ascii="Helvetica" w:eastAsia="Times New Roman" w:hAnsi="Helvetica" w:cs="Helvetica"/>
                                        <w:color w:val="202020"/>
                                        <w:sz w:val="24"/>
                                        <w:szCs w:val="24"/>
                                      </w:rPr>
                                      <w:t>: Two (2) members who own legal surface water rights along the Napa River within the sub-basin (no specialized or professional background is required);</w:t>
                                    </w:r>
                                  </w:p>
                                  <w:p w14:paraId="2BEF7A51" w14:textId="77777777" w:rsidR="009B11F7" w:rsidRPr="009B11F7" w:rsidRDefault="009B11F7" w:rsidP="009B11F7">
                                    <w:pPr>
                                      <w:numPr>
                                        <w:ilvl w:val="0"/>
                                        <w:numId w:val="2"/>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u w:val="single"/>
                                      </w:rPr>
                                      <w:t>Public Water System Representatives</w:t>
                                    </w:r>
                                    <w:r w:rsidRPr="009B11F7">
                                      <w:rPr>
                                        <w:rFonts w:ascii="Helvetica" w:eastAsia="Times New Roman" w:hAnsi="Helvetica" w:cs="Helvetica"/>
                                        <w:color w:val="202020"/>
                                        <w:sz w:val="24"/>
                                        <w:szCs w:val="24"/>
                                      </w:rPr>
                                      <w:t>: Two (2) members who own or operate legally entitled groundwater dependent public water systems within the sub-basin (no specialized or professional background is required);</w:t>
                                    </w:r>
                                  </w:p>
                                  <w:p w14:paraId="1D345111" w14:textId="77777777" w:rsidR="009B11F7" w:rsidRPr="009B11F7" w:rsidRDefault="009B11F7" w:rsidP="009B11F7">
                                    <w:pPr>
                                      <w:numPr>
                                        <w:ilvl w:val="0"/>
                                        <w:numId w:val="2"/>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u w:val="single"/>
                                      </w:rPr>
                                      <w:t>Groundwater Rights Representatives</w:t>
                                    </w:r>
                                    <w:r w:rsidRPr="009B11F7">
                                      <w:rPr>
                                        <w:rFonts w:ascii="Helvetica" w:eastAsia="Times New Roman" w:hAnsi="Helvetica" w:cs="Helvetica"/>
                                        <w:color w:val="202020"/>
                                        <w:sz w:val="24"/>
                                        <w:szCs w:val="24"/>
                                      </w:rPr>
                                      <w:t>: Two (2) members who hold overlying groundwater rights within the sub-basin (no specialized or professional background is required);</w:t>
                                    </w:r>
                                  </w:p>
                                  <w:p w14:paraId="7B16B245" w14:textId="77777777" w:rsidR="009B11F7" w:rsidRPr="009B11F7" w:rsidRDefault="009B11F7" w:rsidP="009B11F7">
                                    <w:pPr>
                                      <w:numPr>
                                        <w:ilvl w:val="0"/>
                                        <w:numId w:val="2"/>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u w:val="single"/>
                                      </w:rPr>
                                      <w:t>Agricultural Representatives</w:t>
                                    </w:r>
                                    <w:r w:rsidRPr="009B11F7">
                                      <w:rPr>
                                        <w:rFonts w:ascii="Helvetica" w:eastAsia="Times New Roman" w:hAnsi="Helvetica" w:cs="Helvetica"/>
                                        <w:color w:val="202020"/>
                                        <w:sz w:val="24"/>
                                        <w:szCs w:val="24"/>
                                      </w:rPr>
                                      <w:t>: Five (5) members from the major industry organizations (no specialized or professional background is required);</w:t>
                                    </w:r>
                                  </w:p>
                                  <w:p w14:paraId="30C1EAA4" w14:textId="77777777" w:rsidR="009B11F7" w:rsidRPr="009B11F7" w:rsidRDefault="009B11F7" w:rsidP="009B11F7">
                                    <w:pPr>
                                      <w:numPr>
                                        <w:ilvl w:val="0"/>
                                        <w:numId w:val="2"/>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u w:val="single"/>
                                      </w:rPr>
                                      <w:t>Environmental Representatives</w:t>
                                    </w:r>
                                    <w:r w:rsidRPr="009B11F7">
                                      <w:rPr>
                                        <w:rFonts w:ascii="Helvetica" w:eastAsia="Times New Roman" w:hAnsi="Helvetica" w:cs="Helvetica"/>
                                        <w:color w:val="202020"/>
                                        <w:sz w:val="24"/>
                                        <w:szCs w:val="24"/>
                                      </w:rPr>
                                      <w:t>: Five (5) members from groups that promote the interests of environmental uses of groundwater within the sub-basin (no specialized or professional background is required);</w:t>
                                    </w:r>
                                  </w:p>
                                  <w:p w14:paraId="1A536CDF" w14:textId="77777777" w:rsidR="009B11F7" w:rsidRPr="009B11F7" w:rsidRDefault="009B11F7" w:rsidP="009B11F7">
                                    <w:pPr>
                                      <w:numPr>
                                        <w:ilvl w:val="0"/>
                                        <w:numId w:val="2"/>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u w:val="single"/>
                                      </w:rPr>
                                      <w:t>Disadvantaged Communities Representatives</w:t>
                                    </w:r>
                                    <w:r w:rsidRPr="009B11F7">
                                      <w:rPr>
                                        <w:rFonts w:ascii="Helvetica" w:eastAsia="Times New Roman" w:hAnsi="Helvetica" w:cs="Helvetica"/>
                                        <w:color w:val="202020"/>
                                        <w:sz w:val="24"/>
                                        <w:szCs w:val="24"/>
                                      </w:rPr>
                                      <w:t>: Two (2) members who are residents or owners within one of six disadvantaged communities located in the sub-basin designated by the Department of Water Resources (no specialized or professional background is required);  and</w:t>
                                    </w:r>
                                  </w:p>
                                  <w:p w14:paraId="0D8471F2" w14:textId="77777777" w:rsidR="009B11F7" w:rsidRPr="009B11F7" w:rsidRDefault="009B11F7" w:rsidP="009B11F7">
                                    <w:pPr>
                                      <w:numPr>
                                        <w:ilvl w:val="0"/>
                                        <w:numId w:val="2"/>
                                      </w:numPr>
                                      <w:spacing w:before="100" w:beforeAutospacing="1" w:after="100" w:afterAutospacing="1" w:line="360" w:lineRule="atLeast"/>
                                      <w:rPr>
                                        <w:rFonts w:ascii="Helvetica" w:eastAsia="Times New Roman" w:hAnsi="Helvetica" w:cs="Helvetica"/>
                                        <w:color w:val="202020"/>
                                        <w:sz w:val="24"/>
                                        <w:szCs w:val="24"/>
                                      </w:rPr>
                                    </w:pPr>
                                    <w:r w:rsidRPr="009B11F7">
                                      <w:rPr>
                                        <w:rFonts w:ascii="Helvetica" w:eastAsia="Times New Roman" w:hAnsi="Helvetica" w:cs="Helvetica"/>
                                        <w:color w:val="202020"/>
                                        <w:sz w:val="24"/>
                                        <w:szCs w:val="24"/>
                                        <w:u w:val="single"/>
                                      </w:rPr>
                                      <w:t>Public At Large Representatives</w:t>
                                    </w:r>
                                    <w:r w:rsidRPr="009B11F7">
                                      <w:rPr>
                                        <w:rFonts w:ascii="Helvetica" w:eastAsia="Times New Roman" w:hAnsi="Helvetica" w:cs="Helvetica"/>
                                        <w:color w:val="202020"/>
                                        <w:sz w:val="24"/>
                                        <w:szCs w:val="24"/>
                                      </w:rPr>
                                      <w:t xml:space="preserve">: Two (2) members with a strong interest in </w:t>
                                    </w:r>
                                    <w:r w:rsidRPr="009B11F7">
                                      <w:rPr>
                                        <w:rFonts w:ascii="Helvetica" w:eastAsia="Times New Roman" w:hAnsi="Helvetica" w:cs="Helvetica"/>
                                        <w:color w:val="202020"/>
                                        <w:sz w:val="24"/>
                                        <w:szCs w:val="24"/>
                                      </w:rPr>
                                      <w:lastRenderedPageBreak/>
                                      <w:t>managing groundwater for the public interest (no specialized or professional background is required).</w:t>
                                    </w:r>
                                  </w:p>
                                  <w:p w14:paraId="2D13F69B" w14:textId="77777777" w:rsidR="009B11F7" w:rsidRPr="009B11F7" w:rsidRDefault="009B11F7" w:rsidP="009B11F7">
                                    <w:pPr>
                                      <w:spacing w:after="0" w:line="360" w:lineRule="atLeast"/>
                                      <w:rPr>
                                        <w:rFonts w:ascii="Arial" w:eastAsia="Times New Roman" w:hAnsi="Arial" w:cs="Arial"/>
                                        <w:color w:val="202020"/>
                                        <w:sz w:val="24"/>
                                        <w:szCs w:val="24"/>
                                      </w:rPr>
                                    </w:pPr>
                                    <w:r w:rsidRPr="009B11F7">
                                      <w:rPr>
                                        <w:rFonts w:ascii="Arial" w:eastAsia="Times New Roman" w:hAnsi="Arial" w:cs="Arial"/>
                                        <w:color w:val="202020"/>
                                        <w:sz w:val="24"/>
                                        <w:szCs w:val="24"/>
                                      </w:rPr>
                                      <w:t> For an interactive map showing both the boundaries of both the groundwater sub-basin and the disadvantaged communities, please go to the following webpage: </w:t>
                                    </w:r>
                                    <w:hyperlink r:id="rId7" w:tgtFrame="_blank" w:history="1">
                                      <w:r w:rsidRPr="009B11F7">
                                        <w:rPr>
                                          <w:rFonts w:ascii="Arial" w:eastAsia="Times New Roman" w:hAnsi="Arial" w:cs="Arial"/>
                                          <w:color w:val="2BAADF"/>
                                          <w:sz w:val="24"/>
                                          <w:szCs w:val="24"/>
                                          <w:u w:val="single"/>
                                        </w:rPr>
                                        <w:t>https://sgma.water.ca.gov/webgis/?appid=SGMADataViewer#boundaries</w:t>
                                      </w:r>
                                    </w:hyperlink>
                                    <w:r w:rsidRPr="009B11F7">
                                      <w:rPr>
                                        <w:rFonts w:ascii="Arial" w:eastAsia="Times New Roman" w:hAnsi="Arial" w:cs="Arial"/>
                                        <w:color w:val="202020"/>
                                        <w:sz w:val="24"/>
                                        <w:szCs w:val="24"/>
                                      </w:rPr>
                                      <w:t>. </w:t>
                                    </w:r>
                                    <w:r w:rsidRPr="009B11F7">
                                      <w:rPr>
                                        <w:rFonts w:ascii="Arial" w:eastAsia="Times New Roman" w:hAnsi="Arial" w:cs="Arial"/>
                                        <w:color w:val="202020"/>
                                        <w:sz w:val="24"/>
                                        <w:szCs w:val="24"/>
                                      </w:rPr>
                                      <w:br/>
                                      <w:t> </w:t>
                                    </w:r>
                                    <w:r w:rsidRPr="009B11F7">
                                      <w:rPr>
                                        <w:rFonts w:ascii="Arial" w:eastAsia="Times New Roman" w:hAnsi="Arial" w:cs="Arial"/>
                                        <w:color w:val="202020"/>
                                        <w:sz w:val="24"/>
                                        <w:szCs w:val="24"/>
                                      </w:rPr>
                                      <w:br/>
                                      <w:t>For a map showing the boundaries of the groundwater sub-basin and the major road networks, so that you can determine whether you live or own land with the sub-basin, please go to the following webpage: </w:t>
                                    </w:r>
                                    <w:hyperlink r:id="rId8" w:tgtFrame="_blank" w:tooltip="https://napacounty.maps.arcgis.com/apps/Styler/index.html?webmap=af0d2abec9244eac856a363a0affa7f7&amp;title=BASIC%20PBES%20MAP&amp;activepanel=layers&amp;subtitle=Napa County&amp;menushare=false&amp;widgettheme=light&amp;layout=top-small&amp;aboutdescription=true&amp;bgcolor=rgb(55,75,7" w:history="1">
                                      <w:r w:rsidRPr="009B11F7">
                                        <w:rPr>
                                          <w:rFonts w:ascii="Arial" w:eastAsia="Times New Roman" w:hAnsi="Arial" w:cs="Arial"/>
                                          <w:color w:val="2BAADF"/>
                                          <w:sz w:val="24"/>
                                          <w:szCs w:val="24"/>
                                          <w:u w:val="single"/>
                                        </w:rPr>
                                        <w:t>Basic PBES Map</w:t>
                                      </w:r>
                                    </w:hyperlink>
                                    <w:r w:rsidRPr="009B11F7">
                                      <w:rPr>
                                        <w:rFonts w:ascii="Arial" w:eastAsia="Times New Roman" w:hAnsi="Arial" w:cs="Arial"/>
                                        <w:color w:val="202020"/>
                                        <w:sz w:val="24"/>
                                        <w:szCs w:val="24"/>
                                      </w:rPr>
                                      <w:br/>
                                      <w:t> </w:t>
                                    </w:r>
                                    <w:r w:rsidRPr="009B11F7">
                                      <w:rPr>
                                        <w:rFonts w:ascii="Arial" w:eastAsia="Times New Roman" w:hAnsi="Arial" w:cs="Arial"/>
                                        <w:color w:val="202020"/>
                                        <w:sz w:val="24"/>
                                        <w:szCs w:val="24"/>
                                      </w:rPr>
                                      <w:br/>
                                      <w:t>Anyone interested in consideration for appointment must submit an application form. Application forms are available at the County Executive Office, 1195 Third Street, Suite 310, Napa, CA 94559, by phone at (707) 253-4421, or online at </w:t>
                                    </w:r>
                                    <w:hyperlink r:id="rId9" w:tgtFrame="_blank" w:history="1">
                                      <w:r w:rsidRPr="009B11F7">
                                        <w:rPr>
                                          <w:rFonts w:ascii="Arial" w:eastAsia="Times New Roman" w:hAnsi="Arial" w:cs="Arial"/>
                                          <w:color w:val="2BAADF"/>
                                          <w:sz w:val="24"/>
                                          <w:szCs w:val="24"/>
                                          <w:u w:val="single"/>
                                        </w:rPr>
                                        <w:t>https://www.countyofnapa.org/1420/Committees-Commissions</w:t>
                                      </w:r>
                                    </w:hyperlink>
                                    <w:r w:rsidRPr="009B11F7">
                                      <w:rPr>
                                        <w:rFonts w:ascii="Arial" w:eastAsia="Times New Roman" w:hAnsi="Arial" w:cs="Arial"/>
                                        <w:color w:val="202020"/>
                                        <w:sz w:val="24"/>
                                        <w:szCs w:val="24"/>
                                      </w:rPr>
                                      <w:t>. When you are on the webpage, scroll down to the heading “</w:t>
                                    </w:r>
                                    <w:r w:rsidRPr="009B11F7">
                                      <w:rPr>
                                        <w:rFonts w:ascii="Arial" w:eastAsia="Times New Roman" w:hAnsi="Arial" w:cs="Arial"/>
                                        <w:b/>
                                        <w:bCs/>
                                        <w:color w:val="202020"/>
                                        <w:sz w:val="24"/>
                                        <w:szCs w:val="24"/>
                                      </w:rPr>
                                      <w:t>Apply</w:t>
                                    </w:r>
                                    <w:r w:rsidRPr="009B11F7">
                                      <w:rPr>
                                        <w:rFonts w:ascii="Arial" w:eastAsia="Times New Roman" w:hAnsi="Arial" w:cs="Arial"/>
                                        <w:color w:val="202020"/>
                                        <w:sz w:val="24"/>
                                        <w:szCs w:val="24"/>
                                      </w:rPr>
                                      <w:t>” then click on “</w:t>
                                    </w:r>
                                    <w:r w:rsidRPr="009B11F7">
                                      <w:rPr>
                                        <w:rFonts w:ascii="Arial" w:eastAsia="Times New Roman" w:hAnsi="Arial" w:cs="Arial"/>
                                        <w:color w:val="202020"/>
                                        <w:sz w:val="24"/>
                                        <w:szCs w:val="24"/>
                                        <w:u w:val="single"/>
                                      </w:rPr>
                                      <w:t>Application Form</w:t>
                                    </w:r>
                                    <w:r w:rsidRPr="009B11F7">
                                      <w:rPr>
                                        <w:rFonts w:ascii="Arial" w:eastAsia="Times New Roman" w:hAnsi="Arial" w:cs="Arial"/>
                                        <w:color w:val="202020"/>
                                        <w:sz w:val="24"/>
                                        <w:szCs w:val="24"/>
                                      </w:rPr>
                                      <w:t>.”</w:t>
                                    </w:r>
                                  </w:p>
                                </w:tc>
                              </w:tr>
                            </w:tbl>
                            <w:p w14:paraId="79C9B781" w14:textId="77777777" w:rsidR="009B11F7" w:rsidRPr="009B11F7" w:rsidRDefault="009B11F7" w:rsidP="009B11F7">
                              <w:pPr>
                                <w:spacing w:after="0" w:line="240" w:lineRule="auto"/>
                                <w:rPr>
                                  <w:rFonts w:ascii="Arial" w:eastAsia="Times New Roman" w:hAnsi="Arial" w:cs="Arial"/>
                                  <w:sz w:val="20"/>
                                  <w:szCs w:val="20"/>
                                </w:rPr>
                              </w:pPr>
                            </w:p>
                          </w:tc>
                        </w:tr>
                      </w:tbl>
                      <w:p w14:paraId="56583463" w14:textId="77777777" w:rsidR="009B11F7" w:rsidRPr="009B11F7" w:rsidRDefault="009B11F7" w:rsidP="009B11F7">
                        <w:pPr>
                          <w:spacing w:after="0" w:line="240" w:lineRule="auto"/>
                          <w:rPr>
                            <w:rFonts w:ascii="Arial" w:eastAsia="Times New Roman" w:hAnsi="Arial" w:cs="Arial"/>
                            <w:sz w:val="20"/>
                            <w:szCs w:val="20"/>
                          </w:rPr>
                        </w:pPr>
                      </w:p>
                    </w:tc>
                  </w:tr>
                </w:tbl>
                <w:tbl>
                  <w:tblPr>
                    <w:tblpPr w:leftFromText="45" w:rightFromText="45" w:vertAnchor="text"/>
                    <w:tblW w:w="3000" w:type="dxa"/>
                    <w:shd w:val="clear" w:color="auto" w:fill="FFFFFF"/>
                    <w:tblCellMar>
                      <w:left w:w="0" w:type="dxa"/>
                      <w:right w:w="0" w:type="dxa"/>
                    </w:tblCellMar>
                    <w:tblLook w:val="04A0" w:firstRow="1" w:lastRow="0" w:firstColumn="1" w:lastColumn="0" w:noHBand="0" w:noVBand="1"/>
                  </w:tblPr>
                  <w:tblGrid>
                    <w:gridCol w:w="3000"/>
                  </w:tblGrid>
                  <w:tr w:rsidR="009B11F7" w:rsidRPr="009B11F7" w14:paraId="7084AE27" w14:textId="77777777">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3000"/>
                        </w:tblGrid>
                        <w:tr w:rsidR="009B11F7" w:rsidRPr="009B11F7" w14:paraId="504BE51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730"/>
                              </w:tblGrid>
                              <w:tr w:rsidR="009B11F7" w:rsidRPr="009B11F7" w14:paraId="06984355" w14:textId="77777777">
                                <w:tc>
                                  <w:tcPr>
                                    <w:tcW w:w="0" w:type="auto"/>
                                    <w:tcMar>
                                      <w:top w:w="0" w:type="dxa"/>
                                      <w:left w:w="135" w:type="dxa"/>
                                      <w:bottom w:w="0" w:type="dxa"/>
                                      <w:right w:w="135" w:type="dxa"/>
                                    </w:tcMar>
                                    <w:hideMark/>
                                  </w:tcPr>
                                  <w:p w14:paraId="48F553AF" w14:textId="77777777" w:rsidR="009B11F7" w:rsidRPr="009B11F7" w:rsidRDefault="009B11F7" w:rsidP="009B11F7">
                                    <w:pPr>
                                      <w:spacing w:after="0" w:line="240" w:lineRule="auto"/>
                                      <w:jc w:val="center"/>
                                      <w:rPr>
                                        <w:rFonts w:ascii="Arial" w:eastAsia="Times New Roman" w:hAnsi="Arial" w:cs="Arial"/>
                                        <w:sz w:val="20"/>
                                        <w:szCs w:val="20"/>
                                      </w:rPr>
                                    </w:pPr>
                                  </w:p>
                                </w:tc>
                              </w:tr>
                            </w:tbl>
                            <w:p w14:paraId="1A5BD6CB" w14:textId="77777777" w:rsidR="009B11F7" w:rsidRPr="009B11F7" w:rsidRDefault="009B11F7" w:rsidP="009B11F7">
                              <w:pPr>
                                <w:spacing w:after="0" w:line="240" w:lineRule="auto"/>
                                <w:rPr>
                                  <w:rFonts w:ascii="Arial" w:eastAsia="Times New Roman" w:hAnsi="Arial" w:cs="Arial"/>
                                  <w:sz w:val="20"/>
                                  <w:szCs w:val="20"/>
                                </w:rPr>
                              </w:pPr>
                            </w:p>
                          </w:tc>
                        </w:tr>
                      </w:tbl>
                      <w:p w14:paraId="0AA077CE" w14:textId="77777777" w:rsidR="009B11F7" w:rsidRPr="009B11F7" w:rsidRDefault="009B11F7" w:rsidP="009B11F7">
                        <w:pPr>
                          <w:spacing w:after="0" w:line="240" w:lineRule="auto"/>
                          <w:rPr>
                            <w:rFonts w:ascii="Arial" w:eastAsia="Times New Roman" w:hAnsi="Arial" w:cs="Arial"/>
                            <w:vanish/>
                            <w:sz w:val="20"/>
                            <w:szCs w:val="20"/>
                          </w:rPr>
                        </w:pPr>
                      </w:p>
                      <w:tbl>
                        <w:tblPr>
                          <w:tblW w:w="5000" w:type="pct"/>
                          <w:tblCellMar>
                            <w:left w:w="0" w:type="dxa"/>
                            <w:right w:w="0" w:type="dxa"/>
                          </w:tblCellMar>
                          <w:tblLook w:val="04A0" w:firstRow="1" w:lastRow="0" w:firstColumn="1" w:lastColumn="0" w:noHBand="0" w:noVBand="1"/>
                        </w:tblPr>
                        <w:tblGrid>
                          <w:gridCol w:w="3000"/>
                        </w:tblGrid>
                        <w:tr w:rsidR="009B11F7" w:rsidRPr="009B11F7" w14:paraId="3E59FDDC"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460"/>
                              </w:tblGrid>
                              <w:tr w:rsidR="009B11F7" w:rsidRPr="009B11F7" w14:paraId="08C4FB02" w14:textId="77777777">
                                <w:tc>
                                  <w:tcPr>
                                    <w:tcW w:w="0" w:type="auto"/>
                                    <w:tcMar>
                                      <w:top w:w="0" w:type="dxa"/>
                                      <w:left w:w="135" w:type="dxa"/>
                                      <w:bottom w:w="135" w:type="dxa"/>
                                      <w:right w:w="135" w:type="dxa"/>
                                    </w:tcMar>
                                    <w:hideMark/>
                                  </w:tcPr>
                                  <w:p w14:paraId="4920C226" w14:textId="77777777" w:rsidR="009B11F7" w:rsidRPr="009B11F7" w:rsidRDefault="009B11F7" w:rsidP="009B11F7">
                                    <w:pPr>
                                      <w:spacing w:after="0" w:line="240" w:lineRule="auto"/>
                                      <w:jc w:val="center"/>
                                      <w:rPr>
                                        <w:rFonts w:ascii="Arial" w:eastAsia="Times New Roman" w:hAnsi="Arial" w:cs="Arial"/>
                                        <w:sz w:val="20"/>
                                        <w:szCs w:val="20"/>
                                      </w:rPr>
                                    </w:pPr>
                                  </w:p>
                                </w:tc>
                              </w:tr>
                              <w:tr w:rsidR="009B11F7" w:rsidRPr="009B11F7" w14:paraId="7D19C307" w14:textId="77777777">
                                <w:tc>
                                  <w:tcPr>
                                    <w:tcW w:w="2460" w:type="dxa"/>
                                    <w:tcMar>
                                      <w:top w:w="0" w:type="dxa"/>
                                      <w:left w:w="135" w:type="dxa"/>
                                      <w:bottom w:w="0" w:type="dxa"/>
                                      <w:right w:w="135" w:type="dxa"/>
                                    </w:tcMar>
                                    <w:hideMark/>
                                  </w:tcPr>
                                  <w:p w14:paraId="07DE2EFB" w14:textId="77777777" w:rsidR="009B11F7" w:rsidRPr="009B11F7" w:rsidRDefault="009B11F7" w:rsidP="009B11F7">
                                    <w:pPr>
                                      <w:spacing w:after="0" w:line="270" w:lineRule="atLeast"/>
                                      <w:jc w:val="center"/>
                                      <w:rPr>
                                        <w:rFonts w:ascii="Arial" w:eastAsia="Times New Roman" w:hAnsi="Arial" w:cs="Arial"/>
                                        <w:color w:val="656565"/>
                                        <w:sz w:val="18"/>
                                        <w:szCs w:val="18"/>
                                      </w:rPr>
                                    </w:pPr>
                                    <w:r w:rsidRPr="009B11F7">
                                      <w:rPr>
                                        <w:rFonts w:ascii="Arial" w:eastAsia="Times New Roman" w:hAnsi="Arial" w:cs="Arial"/>
                                        <w:b/>
                                        <w:bCs/>
                                        <w:color w:val="656565"/>
                                        <w:sz w:val="18"/>
                                      </w:rPr>
                                      <w:t>Napa County</w:t>
                                    </w:r>
                                    <w:r w:rsidRPr="009B11F7">
                                      <w:rPr>
                                        <w:rFonts w:ascii="Arial" w:eastAsia="Times New Roman" w:hAnsi="Arial" w:cs="Arial"/>
                                        <w:b/>
                                        <w:bCs/>
                                        <w:color w:val="656565"/>
                                        <w:sz w:val="18"/>
                                        <w:szCs w:val="18"/>
                                      </w:rPr>
                                      <w:br/>
                                    </w:r>
                                    <w:r w:rsidRPr="009B11F7">
                                      <w:rPr>
                                        <w:rFonts w:ascii="Arial" w:eastAsia="Times New Roman" w:hAnsi="Arial" w:cs="Arial"/>
                                        <w:b/>
                                        <w:bCs/>
                                        <w:color w:val="656565"/>
                                        <w:sz w:val="18"/>
                                      </w:rPr>
                                      <w:t>Department of Public Works</w:t>
                                    </w:r>
                                    <w:r w:rsidRPr="009B11F7">
                                      <w:rPr>
                                        <w:rFonts w:ascii="Arial" w:eastAsia="Times New Roman" w:hAnsi="Arial" w:cs="Arial"/>
                                        <w:color w:val="656565"/>
                                        <w:sz w:val="18"/>
                                        <w:szCs w:val="18"/>
                                      </w:rPr>
                                      <w:br/>
                                    </w:r>
                                    <w:r w:rsidRPr="009B11F7">
                                      <w:rPr>
                                        <w:rFonts w:ascii="Arial" w:eastAsia="Times New Roman" w:hAnsi="Arial" w:cs="Arial"/>
                                        <w:i/>
                                        <w:iCs/>
                                        <w:color w:val="656565"/>
                                        <w:sz w:val="18"/>
                                      </w:rPr>
                                      <w:t>Natural Resources Division</w:t>
                                    </w:r>
                                    <w:r w:rsidRPr="009B11F7">
                                      <w:rPr>
                                        <w:rFonts w:ascii="Arial" w:eastAsia="Times New Roman" w:hAnsi="Arial" w:cs="Arial"/>
                                        <w:color w:val="656565"/>
                                        <w:sz w:val="18"/>
                                        <w:szCs w:val="18"/>
                                      </w:rPr>
                                      <w:br/>
                                    </w:r>
                                    <w:r w:rsidRPr="009B11F7">
                                      <w:rPr>
                                        <w:rFonts w:ascii="Arial" w:eastAsia="Times New Roman" w:hAnsi="Arial" w:cs="Arial"/>
                                        <w:color w:val="656565"/>
                                        <w:sz w:val="18"/>
                                        <w:szCs w:val="18"/>
                                      </w:rPr>
                                      <w:br/>
                                      <w:t> </w:t>
                                    </w:r>
                                  </w:p>
                                  <w:p w14:paraId="71BD0FF3" w14:textId="77777777" w:rsidR="009B11F7" w:rsidRPr="009B11F7" w:rsidRDefault="009B11F7" w:rsidP="009B11F7">
                                    <w:pPr>
                                      <w:spacing w:after="0" w:line="270" w:lineRule="atLeast"/>
                                      <w:jc w:val="center"/>
                                      <w:rPr>
                                        <w:rFonts w:ascii="Arial" w:eastAsia="Times New Roman" w:hAnsi="Arial" w:cs="Arial"/>
                                        <w:color w:val="656565"/>
                                        <w:sz w:val="18"/>
                                        <w:szCs w:val="18"/>
                                      </w:rPr>
                                    </w:pPr>
                                    <w:r w:rsidRPr="009B11F7">
                                      <w:rPr>
                                        <w:rFonts w:ascii="Arial" w:eastAsia="Times New Roman" w:hAnsi="Arial" w:cs="Arial"/>
                                        <w:color w:val="656565"/>
                                        <w:sz w:val="18"/>
                                        <w:szCs w:val="18"/>
                                      </w:rPr>
                                      <w:t>804 First St.</w:t>
                                    </w:r>
                                    <w:r w:rsidRPr="009B11F7">
                                      <w:rPr>
                                        <w:rFonts w:ascii="Arial" w:eastAsia="Times New Roman" w:hAnsi="Arial" w:cs="Arial"/>
                                        <w:color w:val="656565"/>
                                        <w:sz w:val="18"/>
                                        <w:szCs w:val="18"/>
                                      </w:rPr>
                                      <w:br/>
                                      <w:t>Napa CA 94559</w:t>
                                    </w:r>
                                    <w:r w:rsidRPr="009B11F7">
                                      <w:rPr>
                                        <w:rFonts w:ascii="Arial" w:eastAsia="Times New Roman" w:hAnsi="Arial" w:cs="Arial"/>
                                        <w:color w:val="656565"/>
                                        <w:sz w:val="18"/>
                                        <w:szCs w:val="18"/>
                                      </w:rPr>
                                      <w:br/>
                                      <w:t>707-259-8600</w:t>
                                    </w:r>
                                  </w:p>
                                </w:tc>
                              </w:tr>
                            </w:tbl>
                            <w:p w14:paraId="605BD728" w14:textId="77777777" w:rsidR="009B11F7" w:rsidRPr="009B11F7" w:rsidRDefault="009B11F7" w:rsidP="009B11F7">
                              <w:pPr>
                                <w:spacing w:after="0" w:line="240" w:lineRule="auto"/>
                                <w:rPr>
                                  <w:rFonts w:ascii="Arial" w:eastAsia="Times New Roman" w:hAnsi="Arial" w:cs="Arial"/>
                                  <w:sz w:val="20"/>
                                  <w:szCs w:val="20"/>
                                </w:rPr>
                              </w:pPr>
                            </w:p>
                          </w:tc>
                        </w:tr>
                      </w:tbl>
                      <w:p w14:paraId="1D6CC315" w14:textId="77777777" w:rsidR="009B11F7" w:rsidRPr="009B11F7" w:rsidRDefault="009B11F7" w:rsidP="009B11F7">
                        <w:pPr>
                          <w:spacing w:after="0" w:line="240" w:lineRule="auto"/>
                          <w:rPr>
                            <w:rFonts w:ascii="Arial" w:eastAsia="Times New Roman" w:hAnsi="Arial" w:cs="Arial"/>
                            <w:sz w:val="20"/>
                            <w:szCs w:val="20"/>
                          </w:rPr>
                        </w:pPr>
                      </w:p>
                    </w:tc>
                  </w:tr>
                </w:tbl>
                <w:p w14:paraId="2D1A10D8" w14:textId="77777777" w:rsidR="009B11F7" w:rsidRPr="009B11F7" w:rsidRDefault="009B11F7" w:rsidP="009B11F7">
                  <w:pPr>
                    <w:spacing w:after="0" w:line="240" w:lineRule="auto"/>
                    <w:rPr>
                      <w:rFonts w:ascii="Arial" w:eastAsia="Times New Roman" w:hAnsi="Arial" w:cs="Arial"/>
                      <w:sz w:val="20"/>
                      <w:szCs w:val="20"/>
                    </w:rPr>
                  </w:pPr>
                </w:p>
              </w:tc>
            </w:tr>
          </w:tbl>
          <w:p w14:paraId="46DA9EDB" w14:textId="77777777" w:rsidR="009B11F7" w:rsidRPr="009B11F7" w:rsidRDefault="009B11F7" w:rsidP="009B11F7">
            <w:pPr>
              <w:spacing w:after="0" w:line="240" w:lineRule="auto"/>
              <w:rPr>
                <w:rFonts w:ascii="Arial" w:eastAsia="Times New Roman" w:hAnsi="Arial" w:cs="Arial"/>
                <w:color w:val="000000"/>
                <w:sz w:val="20"/>
                <w:szCs w:val="20"/>
              </w:rPr>
            </w:pPr>
          </w:p>
        </w:tc>
      </w:tr>
      <w:tr w:rsidR="009B11F7" w:rsidRPr="009B11F7" w14:paraId="79C9A6DD" w14:textId="77777777" w:rsidTr="009B11F7">
        <w:tblPrEx>
          <w:tblCellSpacing w:w="0" w:type="nil"/>
          <w:shd w:val="clear" w:color="auto" w:fill="FAFAFA"/>
        </w:tblPrEx>
        <w:tc>
          <w:tcPr>
            <w:tcW w:w="0" w:type="auto"/>
            <w:gridSpan w:val="2"/>
            <w:shd w:val="clear" w:color="auto" w:fill="FAFAFA"/>
            <w:vAlign w:val="center"/>
            <w:hideMark/>
          </w:tcPr>
          <w:p w14:paraId="2C7E066F" w14:textId="77777777" w:rsidR="009B11F7" w:rsidRPr="009B11F7" w:rsidRDefault="009B11F7" w:rsidP="009B11F7">
            <w:pPr>
              <w:spacing w:after="0" w:line="240" w:lineRule="auto"/>
              <w:rPr>
                <w:rFonts w:ascii="Arial" w:eastAsia="Times New Roman" w:hAnsi="Arial" w:cs="Arial"/>
                <w:color w:val="000000"/>
                <w:sz w:val="20"/>
                <w:szCs w:val="20"/>
              </w:rPr>
            </w:pPr>
          </w:p>
        </w:tc>
      </w:tr>
    </w:tbl>
    <w:p w14:paraId="4813649F" w14:textId="77777777" w:rsidR="009B11F7" w:rsidRDefault="009B11F7"/>
    <w:sectPr w:rsidR="009B11F7" w:rsidSect="009B1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64B40"/>
    <w:multiLevelType w:val="multilevel"/>
    <w:tmpl w:val="4224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B6DFF"/>
    <w:multiLevelType w:val="multilevel"/>
    <w:tmpl w:val="2D52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F7"/>
    <w:rsid w:val="00072D22"/>
    <w:rsid w:val="002E58FD"/>
    <w:rsid w:val="003C3A0A"/>
    <w:rsid w:val="009B11F7"/>
    <w:rsid w:val="009D27EB"/>
    <w:rsid w:val="00FE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767D"/>
  <w15:docId w15:val="{60F7E20F-DB38-D14A-AA56-A6AA50D1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11F7"/>
    <w:rPr>
      <w:b/>
      <w:bCs/>
    </w:rPr>
  </w:style>
  <w:style w:type="character" w:styleId="Hyperlink">
    <w:name w:val="Hyperlink"/>
    <w:basedOn w:val="DefaultParagraphFont"/>
    <w:uiPriority w:val="99"/>
    <w:semiHidden/>
    <w:unhideWhenUsed/>
    <w:rsid w:val="009B11F7"/>
    <w:rPr>
      <w:color w:val="0000FF"/>
      <w:u w:val="single"/>
    </w:rPr>
  </w:style>
  <w:style w:type="character" w:styleId="Emphasis">
    <w:name w:val="Emphasis"/>
    <w:basedOn w:val="DefaultParagraphFont"/>
    <w:uiPriority w:val="20"/>
    <w:qFormat/>
    <w:rsid w:val="009B1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95414">
      <w:bodyDiv w:val="1"/>
      <w:marLeft w:val="0"/>
      <w:marRight w:val="0"/>
      <w:marTop w:val="0"/>
      <w:marBottom w:val="0"/>
      <w:divBdr>
        <w:top w:val="none" w:sz="0" w:space="0" w:color="auto"/>
        <w:left w:val="none" w:sz="0" w:space="0" w:color="auto"/>
        <w:bottom w:val="none" w:sz="0" w:space="0" w:color="auto"/>
        <w:right w:val="none" w:sz="0" w:space="0" w:color="auto"/>
      </w:divBdr>
    </w:div>
    <w:div w:id="1802381482">
      <w:bodyDiv w:val="1"/>
      <w:marLeft w:val="0"/>
      <w:marRight w:val="0"/>
      <w:marTop w:val="0"/>
      <w:marBottom w:val="0"/>
      <w:divBdr>
        <w:top w:val="none" w:sz="0" w:space="0" w:color="auto"/>
        <w:left w:val="none" w:sz="0" w:space="0" w:color="auto"/>
        <w:bottom w:val="none" w:sz="0" w:space="0" w:color="auto"/>
        <w:right w:val="none" w:sz="0" w:space="0" w:color="auto"/>
      </w:divBdr>
      <w:divsChild>
        <w:div w:id="1590381499">
          <w:marLeft w:val="0"/>
          <w:marRight w:val="0"/>
          <w:marTop w:val="0"/>
          <w:marBottom w:val="0"/>
          <w:divBdr>
            <w:top w:val="none" w:sz="0" w:space="0" w:color="auto"/>
            <w:left w:val="none" w:sz="0" w:space="0" w:color="auto"/>
            <w:bottom w:val="none" w:sz="0" w:space="0" w:color="auto"/>
            <w:right w:val="none" w:sz="0" w:space="0" w:color="auto"/>
          </w:divBdr>
        </w:div>
        <w:div w:id="16789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ntyofnapa.us12.list-manage.com/track/click?u=e561ed61f04917d7c09de30fa&amp;id=9480b5e163&amp;e=daf1461bcc" TargetMode="External"/><Relationship Id="rId3" Type="http://schemas.openxmlformats.org/officeDocument/2006/relationships/settings" Target="settings.xml"/><Relationship Id="rId7" Type="http://schemas.openxmlformats.org/officeDocument/2006/relationships/hyperlink" Target="https://countyofnapa.us12.list-manage.com/track/click?u=e561ed61f04917d7c09de30fa&amp;id=69e01b7c84&amp;e=daf1461b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ntyofnapa.us12.list-manage.com/track/click?u=e561ed61f04917d7c09de30fa&amp;id=ca279c697e&amp;e=daf1461bcc" TargetMode="External"/><Relationship Id="rId11" Type="http://schemas.openxmlformats.org/officeDocument/2006/relationships/theme" Target="theme/theme1.xml"/><Relationship Id="rId5" Type="http://schemas.openxmlformats.org/officeDocument/2006/relationships/hyperlink" Target="https://mailchi.mp/c5e3b692762c/applicants-sought-for-groundwater-plan-advisory-committee?e=daf1461bc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untyofnapa.us12.list-manage.com/track/click?u=e561ed61f04917d7c09de30fa&amp;id=d191a93869&amp;e=daf1461b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5308</Characters>
  <Application>Microsoft Office Word</Application>
  <DocSecurity>0</DocSecurity>
  <Lines>44</Lines>
  <Paragraphs>12</Paragraphs>
  <ScaleCrop>false</ScaleCrop>
  <Company>Tynant</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Margadfant</dc:creator>
  <cp:lastModifiedBy>Microsoft Office User</cp:lastModifiedBy>
  <cp:revision>2</cp:revision>
  <dcterms:created xsi:type="dcterms:W3CDTF">2020-05-15T15:36:00Z</dcterms:created>
  <dcterms:modified xsi:type="dcterms:W3CDTF">2020-05-15T15:36:00Z</dcterms:modified>
</cp:coreProperties>
</file>